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C8" w:rsidRDefault="00004630">
      <w:pPr>
        <w:pStyle w:val="BodyText"/>
        <w:ind w:left="110"/>
        <w:rPr>
          <w:rFonts w:ascii="Times New Roman"/>
          <w:sz w:val="20"/>
        </w:rPr>
      </w:pPr>
      <w:r>
        <w:rPr>
          <w:rFonts w:ascii="Times New Roman"/>
          <w:noProof/>
          <w:sz w:val="20"/>
        </w:rPr>
        <w:drawing>
          <wp:inline distT="0" distB="0" distL="0" distR="0">
            <wp:extent cx="1558926" cy="420814"/>
            <wp:effectExtent l="0" t="0" r="0" b="0"/>
            <wp:docPr id="1" name="image1.jpeg" descr="LG-2-LAC_HORZNTL_logo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58926" cy="420814"/>
                    </a:xfrm>
                    <a:prstGeom prst="rect">
                      <a:avLst/>
                    </a:prstGeom>
                  </pic:spPr>
                </pic:pic>
              </a:graphicData>
            </a:graphic>
          </wp:inline>
        </w:drawing>
      </w:r>
    </w:p>
    <w:p w:rsidR="00A464C8" w:rsidRDefault="00A464C8">
      <w:pPr>
        <w:pStyle w:val="BodyText"/>
        <w:rPr>
          <w:rFonts w:ascii="Times New Roman"/>
          <w:sz w:val="20"/>
        </w:rPr>
      </w:pPr>
    </w:p>
    <w:p w:rsidR="00A464C8" w:rsidRDefault="00A464C8">
      <w:pPr>
        <w:pStyle w:val="BodyText"/>
        <w:spacing w:before="11"/>
        <w:rPr>
          <w:rFonts w:ascii="Times New Roman"/>
          <w:sz w:val="23"/>
        </w:rPr>
      </w:pPr>
    </w:p>
    <w:p w:rsidR="00A464C8" w:rsidRDefault="00004630">
      <w:pPr>
        <w:spacing w:before="3"/>
        <w:ind w:left="4328" w:right="5528"/>
        <w:jc w:val="center"/>
        <w:rPr>
          <w:b/>
          <w:sz w:val="38"/>
        </w:rPr>
      </w:pPr>
      <w:r>
        <w:pict>
          <v:group id="_x0000_s1034" style="position:absolute;left:0;text-align:left;margin-left:164.25pt;margin-top:-58.45pt;width:427.8pt;height:65.6pt;z-index:-3808;mso-position-horizontal-relative:page" coordorigin="3285,-1169" coordsize="8556,1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285;top:-1169;width:1560;height:1125">
              <v:imagedata r:id="rId6" o:title=""/>
            </v:shape>
            <v:shape id="_x0000_s1036" type="#_x0000_t75" style="position:absolute;left:10590;top:-1169;width:1251;height:1312">
              <v:imagedata r:id="rId7" o:title=""/>
            </v:shape>
            <v:shape id="_x0000_s1035" type="#_x0000_t75" style="position:absolute;left:4905;top:-1169;width:5655;height:794">
              <v:imagedata r:id="rId8" o:title=""/>
            </v:shape>
            <w10:wrap anchorx="page"/>
          </v:group>
        </w:pict>
      </w:r>
      <w:r>
        <w:rPr>
          <w:b/>
          <w:sz w:val="48"/>
        </w:rPr>
        <w:t>A</w:t>
      </w:r>
      <w:r>
        <w:rPr>
          <w:b/>
          <w:sz w:val="38"/>
        </w:rPr>
        <w:t>G E N D A</w:t>
      </w:r>
    </w:p>
    <w:p w:rsidR="00A464C8" w:rsidRDefault="00004630">
      <w:pPr>
        <w:pStyle w:val="BodyText"/>
        <w:spacing w:before="12"/>
        <w:rPr>
          <w:b/>
          <w:sz w:val="13"/>
        </w:rPr>
      </w:pPr>
      <w:r>
        <w:pict>
          <v:group id="_x0000_s1030" style="position:absolute;margin-left:45.7pt;margin-top:10.5pt;width:531.5pt;height:.5pt;z-index:251659264;mso-wrap-distance-left:0;mso-wrap-distance-right:0;mso-position-horizontal-relative:page" coordorigin="914,210" coordsize="10630,10">
            <v:line id="_x0000_s1033" style="position:absolute" from="919,215" to="5419,215" strokeweight=".48pt"/>
            <v:line id="_x0000_s1032" style="position:absolute" from="5419,215" to="5429,215" strokeweight=".48pt"/>
            <v:line id="_x0000_s1031" style="position:absolute" from="5429,215" to="11539,215" strokeweight=".48pt"/>
            <w10:wrap type="topAndBottom" anchorx="page"/>
          </v:group>
        </w:pict>
      </w:r>
    </w:p>
    <w:p w:rsidR="00A464C8" w:rsidRDefault="00004630">
      <w:pPr>
        <w:spacing w:before="176"/>
        <w:ind w:left="699"/>
      </w:pPr>
      <w:bookmarkStart w:id="0" w:name="Training:_Project_ECHO®_Webinar:_Medicat"/>
      <w:bookmarkEnd w:id="0"/>
      <w:r>
        <w:rPr>
          <w:b/>
        </w:rPr>
        <w:t>Training: Project ECHO</w:t>
      </w:r>
      <w:r>
        <w:rPr>
          <w:b/>
          <w:sz w:val="28"/>
        </w:rPr>
        <w:t xml:space="preserve">® </w:t>
      </w:r>
      <w:r>
        <w:rPr>
          <w:b/>
        </w:rPr>
        <w:t xml:space="preserve">Webinar: </w:t>
      </w:r>
      <w:r>
        <w:t>Medication Assisted Treatment (MAT) &amp; Pregnancy</w:t>
      </w:r>
    </w:p>
    <w:p w:rsidR="00A464C8" w:rsidRDefault="00004630">
      <w:pPr>
        <w:spacing w:before="54" w:line="251" w:lineRule="exact"/>
        <w:ind w:left="699"/>
      </w:pPr>
      <w:bookmarkStart w:id="1" w:name="Time:__12:00_PM_–_1:00_PM___1.0_CME/CE_C"/>
      <w:bookmarkEnd w:id="1"/>
      <w:r>
        <w:rPr>
          <w:b/>
        </w:rPr>
        <w:t xml:space="preserve">Date:  </w:t>
      </w:r>
      <w:r>
        <w:t>December 3</w:t>
      </w:r>
      <w:proofErr w:type="spellStart"/>
      <w:r>
        <w:rPr>
          <w:position w:val="8"/>
          <w:sz w:val="14"/>
        </w:rPr>
        <w:t>rd</w:t>
      </w:r>
      <w:proofErr w:type="spellEnd"/>
      <w:r>
        <w:t>, 2018</w:t>
      </w:r>
    </w:p>
    <w:p w:rsidR="00A464C8" w:rsidRDefault="00004630">
      <w:pPr>
        <w:pStyle w:val="Heading2"/>
        <w:tabs>
          <w:tab w:val="left" w:pos="3579"/>
        </w:tabs>
        <w:spacing w:line="223" w:lineRule="exact"/>
        <w:ind w:right="0"/>
        <w:jc w:val="left"/>
      </w:pPr>
      <w:r>
        <w:rPr>
          <w:b/>
        </w:rPr>
        <w:t xml:space="preserve">Time:  </w:t>
      </w:r>
      <w:r>
        <w:t>12:00 PM –</w:t>
      </w:r>
      <w:r>
        <w:rPr>
          <w:spacing w:val="-4"/>
        </w:rPr>
        <w:t xml:space="preserve"> </w:t>
      </w:r>
      <w:r>
        <w:t>1:00</w:t>
      </w:r>
      <w:r>
        <w:rPr>
          <w:spacing w:val="-2"/>
        </w:rPr>
        <w:t xml:space="preserve"> </w:t>
      </w:r>
      <w:r>
        <w:t>PM</w:t>
      </w:r>
      <w:r>
        <w:tab/>
        <w:t>1.0 CME/CE</w:t>
      </w:r>
      <w:r>
        <w:rPr>
          <w:spacing w:val="-8"/>
        </w:rPr>
        <w:t xml:space="preserve"> </w:t>
      </w:r>
      <w:r>
        <w:t>Credit</w:t>
      </w:r>
    </w:p>
    <w:p w:rsidR="00A464C8" w:rsidRDefault="00004630">
      <w:pPr>
        <w:spacing w:before="10" w:line="220" w:lineRule="exact"/>
        <w:ind w:left="699" w:right="5194"/>
      </w:pPr>
      <w:r>
        <w:rPr>
          <w:b/>
        </w:rPr>
        <w:t xml:space="preserve">Location (webinar): </w:t>
      </w:r>
      <w:r>
        <w:t>UCLA Integrated Substance Abuse Programs 11075 Santa Monica Blvd, Suite 200, Los Angeles, CA 90025</w:t>
      </w:r>
    </w:p>
    <w:p w:rsidR="00A464C8" w:rsidRDefault="00A464C8">
      <w:pPr>
        <w:pStyle w:val="BodyText"/>
        <w:rPr>
          <w:sz w:val="5"/>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240"/>
      </w:tblGrid>
      <w:tr w:rsidR="00A464C8">
        <w:trPr>
          <w:trHeight w:hRule="exact" w:val="666"/>
        </w:trPr>
        <w:tc>
          <w:tcPr>
            <w:tcW w:w="7380" w:type="dxa"/>
            <w:tcBorders>
              <w:bottom w:val="single" w:sz="24" w:space="0" w:color="000000"/>
            </w:tcBorders>
            <w:shd w:val="clear" w:color="auto" w:fill="C6D9F1"/>
          </w:tcPr>
          <w:p w:rsidR="00A464C8" w:rsidRDefault="00004630">
            <w:pPr>
              <w:pStyle w:val="TableParagraph"/>
              <w:spacing w:before="122"/>
              <w:ind w:left="3353" w:right="3351"/>
              <w:jc w:val="center"/>
              <w:rPr>
                <w:b/>
                <w:sz w:val="28"/>
              </w:rPr>
            </w:pPr>
            <w:r>
              <w:rPr>
                <w:b/>
                <w:sz w:val="28"/>
              </w:rPr>
              <w:t>Topic</w:t>
            </w:r>
          </w:p>
        </w:tc>
        <w:tc>
          <w:tcPr>
            <w:tcW w:w="3240" w:type="dxa"/>
            <w:tcBorders>
              <w:bottom w:val="single" w:sz="24" w:space="0" w:color="000000"/>
            </w:tcBorders>
            <w:shd w:val="clear" w:color="auto" w:fill="C6D9F1"/>
          </w:tcPr>
          <w:p w:rsidR="00A464C8" w:rsidRDefault="00004630">
            <w:pPr>
              <w:pStyle w:val="TableParagraph"/>
              <w:spacing w:before="122"/>
              <w:ind w:left="1306" w:right="1307"/>
              <w:jc w:val="center"/>
              <w:rPr>
                <w:b/>
                <w:sz w:val="28"/>
              </w:rPr>
            </w:pPr>
            <w:r>
              <w:rPr>
                <w:b/>
                <w:sz w:val="28"/>
              </w:rPr>
              <w:t>Time</w:t>
            </w:r>
          </w:p>
        </w:tc>
      </w:tr>
      <w:tr w:rsidR="00A464C8" w:rsidTr="00004630">
        <w:trPr>
          <w:trHeight w:hRule="exact" w:val="4687"/>
        </w:trPr>
        <w:tc>
          <w:tcPr>
            <w:tcW w:w="7380" w:type="dxa"/>
          </w:tcPr>
          <w:p w:rsidR="00A464C8" w:rsidRDefault="00004630">
            <w:pPr>
              <w:pStyle w:val="TableParagraph"/>
              <w:ind w:left="100"/>
              <w:rPr>
                <w:b/>
                <w:i/>
              </w:rPr>
            </w:pPr>
            <w:r>
              <w:rPr>
                <w:b/>
                <w:i/>
              </w:rPr>
              <w:t>Main Presentation: MAT &amp; Pregnancy</w:t>
            </w:r>
          </w:p>
          <w:p w:rsidR="00004630" w:rsidRDefault="00004630" w:rsidP="00004630">
            <w:pPr>
              <w:pStyle w:val="TableParagraph"/>
              <w:numPr>
                <w:ilvl w:val="0"/>
                <w:numId w:val="1"/>
              </w:numPr>
              <w:tabs>
                <w:tab w:val="left" w:pos="1079"/>
                <w:tab w:val="left" w:pos="1081"/>
              </w:tabs>
              <w:ind w:right="290"/>
            </w:pPr>
            <w:r>
              <w:rPr>
                <w:b/>
                <w:i/>
              </w:rPr>
              <w:t xml:space="preserve">Gloria Miele, PhD, </w:t>
            </w:r>
            <w:r>
              <w:t>Learning Collaborative Coordinator, CA Hub and Spoke MAT Expansion Project, UCLA Integrated Substance Abuse Programs</w:t>
            </w:r>
          </w:p>
          <w:p w:rsidR="00004630" w:rsidRDefault="00004630" w:rsidP="00004630">
            <w:pPr>
              <w:pStyle w:val="TableParagraph"/>
              <w:numPr>
                <w:ilvl w:val="0"/>
                <w:numId w:val="1"/>
              </w:numPr>
              <w:tabs>
                <w:tab w:val="left" w:pos="1171"/>
                <w:tab w:val="left" w:pos="1172"/>
              </w:tabs>
              <w:spacing w:before="118"/>
              <w:ind w:right="363"/>
            </w:pPr>
            <w:r>
              <w:rPr>
                <w:b/>
                <w:i/>
              </w:rPr>
              <w:t xml:space="preserve">Thomas E. Freese, PhD </w:t>
            </w:r>
            <w:r>
              <w:t>Co-Director, UCLA Integrated Substance Abuse Programs Director of Training, UCLA Integrated Substance Abuse Programs Director, Pacific Southwest Addiction Technology Transfer Center</w:t>
            </w:r>
          </w:p>
          <w:p w:rsidR="00A464C8" w:rsidRDefault="00004630" w:rsidP="00004630">
            <w:pPr>
              <w:pStyle w:val="TableParagraph"/>
              <w:numPr>
                <w:ilvl w:val="0"/>
                <w:numId w:val="1"/>
              </w:numPr>
              <w:tabs>
                <w:tab w:val="left" w:pos="1171"/>
                <w:tab w:val="left" w:pos="1172"/>
              </w:tabs>
              <w:spacing w:before="118"/>
              <w:ind w:right="363"/>
            </w:pPr>
            <w:r>
              <w:rPr>
                <w:b/>
                <w:i/>
              </w:rPr>
              <w:t xml:space="preserve">Larissa Mooney, MD, </w:t>
            </w:r>
            <w:r>
              <w:t>Director of the UCLA Addiction Medicine Clinic and Chief of the Greater Los Angeles Veterans Affairs Substance Use Disorders Section, and Associate Clinical Professor of Psychiatry at</w:t>
            </w:r>
            <w:r>
              <w:rPr>
                <w:spacing w:val="-6"/>
              </w:rPr>
              <w:t xml:space="preserve"> </w:t>
            </w:r>
            <w:r>
              <w:t>UCLA</w:t>
            </w:r>
          </w:p>
          <w:p w:rsidR="00A464C8" w:rsidRDefault="00004630" w:rsidP="00004630">
            <w:pPr>
              <w:pStyle w:val="TableParagraph"/>
              <w:numPr>
                <w:ilvl w:val="0"/>
                <w:numId w:val="1"/>
              </w:numPr>
              <w:tabs>
                <w:tab w:val="left" w:pos="1171"/>
                <w:tab w:val="left" w:pos="1172"/>
              </w:tabs>
              <w:spacing w:before="118"/>
              <w:ind w:right="754"/>
            </w:pPr>
            <w:r>
              <w:rPr>
                <w:b/>
                <w:i/>
              </w:rPr>
              <w:t>Candy Stockton-</w:t>
            </w:r>
            <w:proofErr w:type="spellStart"/>
            <w:r>
              <w:rPr>
                <w:b/>
                <w:i/>
              </w:rPr>
              <w:t>Joreteg</w:t>
            </w:r>
            <w:proofErr w:type="spellEnd"/>
            <w:r>
              <w:rPr>
                <w:b/>
                <w:i/>
              </w:rPr>
              <w:t xml:space="preserve">, MD, </w:t>
            </w:r>
            <w:r>
              <w:t>Director, Integrated Substance Abuse Pr</w:t>
            </w:r>
            <w:r>
              <w:t>ogram, Shasta Community Health</w:t>
            </w:r>
            <w:r>
              <w:rPr>
                <w:spacing w:val="-15"/>
              </w:rPr>
              <w:t xml:space="preserve"> </w:t>
            </w:r>
            <w:r>
              <w:t>Center</w:t>
            </w:r>
          </w:p>
        </w:tc>
        <w:tc>
          <w:tcPr>
            <w:tcW w:w="3240" w:type="dxa"/>
          </w:tcPr>
          <w:p w:rsidR="00A464C8" w:rsidRDefault="00004630" w:rsidP="00004630">
            <w:pPr>
              <w:pStyle w:val="TableParagraph"/>
              <w:ind w:left="823"/>
              <w:rPr>
                <w:b/>
              </w:rPr>
            </w:pPr>
            <w:r>
              <w:rPr>
                <w:b/>
              </w:rPr>
              <w:t>12:00 – 1</w:t>
            </w:r>
            <w:r>
              <w:rPr>
                <w:b/>
              </w:rPr>
              <w:t>:0</w:t>
            </w:r>
            <w:r>
              <w:rPr>
                <w:b/>
              </w:rPr>
              <w:t>0 PM</w:t>
            </w:r>
          </w:p>
        </w:tc>
        <w:bookmarkStart w:id="2" w:name="_GoBack"/>
        <w:bookmarkEnd w:id="2"/>
      </w:tr>
    </w:tbl>
    <w:p w:rsidR="00004630" w:rsidRDefault="00004630">
      <w:pPr>
        <w:pStyle w:val="BodyText"/>
        <w:spacing w:before="2"/>
        <w:ind w:left="502" w:right="1379"/>
      </w:pPr>
    </w:p>
    <w:p w:rsidR="00A464C8" w:rsidRPr="00004630" w:rsidRDefault="00004630">
      <w:pPr>
        <w:pStyle w:val="BodyText"/>
        <w:spacing w:before="2"/>
        <w:ind w:left="502" w:right="1379"/>
        <w:rPr>
          <w:sz w:val="20"/>
        </w:rPr>
      </w:pPr>
      <w:r w:rsidRPr="00004630">
        <w:rPr>
          <w:sz w:val="20"/>
        </w:rPr>
        <w:t xml:space="preserve">This CME activity has been planned and implemented in accordance with the accreditation requirements and policies of IMQ/CMA Institute for Medical Quality, a subsidiary of the California Medical Association, through the joint </w:t>
      </w:r>
      <w:proofErr w:type="spellStart"/>
      <w:r w:rsidRPr="00004630">
        <w:rPr>
          <w:sz w:val="20"/>
        </w:rPr>
        <w:t>providership</w:t>
      </w:r>
      <w:proofErr w:type="spellEnd"/>
      <w:r w:rsidRPr="00004630">
        <w:rPr>
          <w:sz w:val="20"/>
        </w:rPr>
        <w:t xml:space="preserve"> of L.A. Care Heal</w:t>
      </w:r>
      <w:r w:rsidRPr="00004630">
        <w:rPr>
          <w:sz w:val="20"/>
        </w:rPr>
        <w:t xml:space="preserve">th Plan and UCLA Integrated Substance Abuse Programs. L.A. Care Health Plan is accredited by IMQ/CMA to provide continuing medical education for Physicians. L.A. Care Health Plan designates this live course training for a maximum of </w:t>
      </w:r>
      <w:r w:rsidRPr="00004630">
        <w:rPr>
          <w:b/>
          <w:sz w:val="20"/>
        </w:rPr>
        <w:t>1 AMA PRA Category 1 Cr</w:t>
      </w:r>
      <w:r w:rsidRPr="00004630">
        <w:rPr>
          <w:b/>
          <w:sz w:val="20"/>
        </w:rPr>
        <w:t>edit™</w:t>
      </w:r>
      <w:r w:rsidRPr="00004630">
        <w:rPr>
          <w:sz w:val="20"/>
        </w:rPr>
        <w:t>.</w:t>
      </w:r>
    </w:p>
    <w:p w:rsidR="00A464C8" w:rsidRPr="00004630" w:rsidRDefault="00A464C8">
      <w:pPr>
        <w:pStyle w:val="BodyText"/>
        <w:spacing w:before="1"/>
        <w:rPr>
          <w:sz w:val="22"/>
        </w:rPr>
      </w:pPr>
    </w:p>
    <w:p w:rsidR="00A464C8" w:rsidRPr="00004630" w:rsidRDefault="00004630">
      <w:pPr>
        <w:pStyle w:val="BodyText"/>
        <w:spacing w:before="1"/>
        <w:ind w:left="502" w:right="1627"/>
        <w:jc w:val="both"/>
        <w:rPr>
          <w:sz w:val="20"/>
        </w:rPr>
      </w:pPr>
      <w:r w:rsidRPr="00004630">
        <w:rPr>
          <w:sz w:val="20"/>
        </w:rPr>
        <w:t xml:space="preserve">L.A. Care Health Plan is an approved Continuing Education Provider (CEP 13731) by the California Board of Registered Nursing. This program is approved and live course training meets the qualifications of </w:t>
      </w:r>
      <w:r w:rsidRPr="00004630">
        <w:rPr>
          <w:b/>
          <w:sz w:val="20"/>
        </w:rPr>
        <w:t xml:space="preserve">1 hour </w:t>
      </w:r>
      <w:r w:rsidRPr="00004630">
        <w:rPr>
          <w:sz w:val="20"/>
        </w:rPr>
        <w:t>of continuing education credits for RNs and NPs as required by the California Board of Registered Nursing.</w:t>
      </w:r>
    </w:p>
    <w:p w:rsidR="00A464C8" w:rsidRPr="00004630" w:rsidRDefault="00004630">
      <w:pPr>
        <w:pStyle w:val="BodyText"/>
        <w:spacing w:before="138"/>
        <w:ind w:left="1241" w:right="1894" w:hanging="17"/>
        <w:rPr>
          <w:sz w:val="20"/>
        </w:rPr>
      </w:pPr>
      <w:r w:rsidRPr="00004630">
        <w:rPr>
          <w:noProof/>
          <w:sz w:val="20"/>
        </w:rPr>
        <w:drawing>
          <wp:anchor distT="0" distB="0" distL="0" distR="0" simplePos="0" relativeHeight="1048" behindDoc="0" locked="0" layoutInCell="1" allowOverlap="1">
            <wp:simplePos x="0" y="0"/>
            <wp:positionH relativeFrom="page">
              <wp:posOffset>446405</wp:posOffset>
            </wp:positionH>
            <wp:positionV relativeFrom="paragraph">
              <wp:posOffset>59163</wp:posOffset>
            </wp:positionV>
            <wp:extent cx="366393" cy="343177"/>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9" cstate="print"/>
                    <a:stretch>
                      <a:fillRect/>
                    </a:stretch>
                  </pic:blipFill>
                  <pic:spPr>
                    <a:xfrm>
                      <a:off x="0" y="0"/>
                      <a:ext cx="366393" cy="343177"/>
                    </a:xfrm>
                    <a:prstGeom prst="rect">
                      <a:avLst/>
                    </a:prstGeom>
                  </pic:spPr>
                </pic:pic>
              </a:graphicData>
            </a:graphic>
          </wp:anchor>
        </w:drawing>
      </w:r>
      <w:r w:rsidRPr="00004630">
        <w:rPr>
          <w:sz w:val="20"/>
        </w:rPr>
        <w:t>UCLA Integrated Substance Abuse Programs (ISAP) is approved by the American Psychological Association to sponsor continuing education for psychologi</w:t>
      </w:r>
      <w:r w:rsidRPr="00004630">
        <w:rPr>
          <w:sz w:val="20"/>
        </w:rPr>
        <w:t>sts. UCLA ISAP maintains responsibility for this program and its content.</w:t>
      </w:r>
    </w:p>
    <w:p w:rsidR="00A464C8" w:rsidRPr="00004630" w:rsidRDefault="00004630">
      <w:pPr>
        <w:pStyle w:val="BodyText"/>
        <w:spacing w:before="149"/>
        <w:ind w:left="502" w:right="1379"/>
        <w:rPr>
          <w:sz w:val="20"/>
        </w:rPr>
      </w:pPr>
      <w:r w:rsidRPr="00004630">
        <w:rPr>
          <w:sz w:val="20"/>
        </w:rPr>
        <w:t>UCLA ISAP is approved by the California Association of Marriage and Family Therapists to sponsor continuing education for LMFTs, LCSWs, LPCCs, and/or LEPs (Provider #64812). UCLA ISA</w:t>
      </w:r>
      <w:r w:rsidRPr="00004630">
        <w:rPr>
          <w:sz w:val="20"/>
        </w:rPr>
        <w:t>P maintains responsibility for this program/course and its content. Course meets the qualifications for one (1.0) hour of continuing education credit for LMFTs, LCSWs, LPCCs, and LEPs, as required by the California Board of Behavioral Sciences. UCLA ISAP i</w:t>
      </w:r>
      <w:r w:rsidRPr="00004630">
        <w:rPr>
          <w:sz w:val="20"/>
        </w:rPr>
        <w:t>s also an approved provider of continuing education for RADTs I/II, CADCs-CASs,</w:t>
      </w:r>
    </w:p>
    <w:p w:rsidR="00A464C8" w:rsidRPr="00004630" w:rsidRDefault="00004630">
      <w:pPr>
        <w:pStyle w:val="BodyText"/>
        <w:spacing w:line="218" w:lineRule="exact"/>
        <w:ind w:left="502"/>
        <w:rPr>
          <w:sz w:val="20"/>
        </w:rPr>
      </w:pPr>
      <w:r w:rsidRPr="00004630">
        <w:rPr>
          <w:sz w:val="20"/>
        </w:rPr>
        <w:t>CADCs I/II, CADCs-CSs, and LAADCs (CCAPP, #2N-00-445-1119), CATCs (ACCBC/CAADE, #CP 20 872 C 0819), and CAODCs (CADTP</w:t>
      </w:r>
      <w:proofErr w:type="gramStart"/>
      <w:r w:rsidRPr="00004630">
        <w:rPr>
          <w:sz w:val="20"/>
        </w:rPr>
        <w:t>,  #</w:t>
      </w:r>
      <w:proofErr w:type="gramEnd"/>
      <w:r w:rsidRPr="00004630">
        <w:rPr>
          <w:sz w:val="20"/>
        </w:rPr>
        <w:t>151).</w:t>
      </w:r>
    </w:p>
    <w:p w:rsidR="00A464C8" w:rsidRPr="00004630" w:rsidRDefault="00A464C8">
      <w:pPr>
        <w:pStyle w:val="BodyText"/>
        <w:spacing w:before="2"/>
        <w:rPr>
          <w:sz w:val="20"/>
        </w:rPr>
      </w:pPr>
    </w:p>
    <w:p w:rsidR="00A464C8" w:rsidRPr="00004630" w:rsidRDefault="00004630">
      <w:pPr>
        <w:pStyle w:val="BodyText"/>
        <w:spacing w:before="1"/>
        <w:ind w:left="502" w:right="1460"/>
        <w:rPr>
          <w:sz w:val="20"/>
        </w:rPr>
      </w:pPr>
      <w:r w:rsidRPr="00004630">
        <w:rPr>
          <w:sz w:val="20"/>
        </w:rPr>
        <w:t>CE credit will be awarded at the conclusion of t</w:t>
      </w:r>
      <w:r w:rsidRPr="00004630">
        <w:rPr>
          <w:sz w:val="20"/>
        </w:rPr>
        <w:t>he training. Partial credit will not be available for those participants who arrive late or leave early.</w:t>
      </w:r>
    </w:p>
    <w:p w:rsidR="00A464C8" w:rsidRDefault="00A464C8">
      <w:pPr>
        <w:sectPr w:rsidR="00A464C8">
          <w:type w:val="continuous"/>
          <w:pgSz w:w="12240" w:h="15840"/>
          <w:pgMar w:top="620" w:right="280" w:bottom="280" w:left="280" w:header="720" w:footer="720" w:gutter="0"/>
          <w:cols w:space="720"/>
        </w:sectPr>
      </w:pPr>
    </w:p>
    <w:p w:rsidR="00A464C8" w:rsidRDefault="00004630">
      <w:pPr>
        <w:tabs>
          <w:tab w:val="left" w:pos="2795"/>
        </w:tabs>
        <w:ind w:left="110"/>
        <w:rPr>
          <w:sz w:val="20"/>
        </w:rPr>
      </w:pPr>
      <w:r>
        <w:rPr>
          <w:noProof/>
          <w:position w:val="55"/>
          <w:sz w:val="20"/>
        </w:rPr>
        <w:lastRenderedPageBreak/>
        <w:drawing>
          <wp:inline distT="0" distB="0" distL="0" distR="0">
            <wp:extent cx="1525484" cy="411860"/>
            <wp:effectExtent l="0" t="0" r="0" b="0"/>
            <wp:docPr id="5" name="image1.jpeg" descr="LG-2-LAC_HORZNTL_logo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525484" cy="411860"/>
                    </a:xfrm>
                    <a:prstGeom prst="rect">
                      <a:avLst/>
                    </a:prstGeom>
                  </pic:spPr>
                </pic:pic>
              </a:graphicData>
            </a:graphic>
          </wp:inline>
        </w:drawing>
      </w:r>
      <w:r>
        <w:rPr>
          <w:position w:val="55"/>
          <w:sz w:val="20"/>
        </w:rPr>
        <w:tab/>
      </w:r>
      <w:r>
        <w:rPr>
          <w:sz w:val="20"/>
        </w:rPr>
      </w:r>
      <w:r>
        <w:rPr>
          <w:sz w:val="20"/>
        </w:rPr>
        <w:pict>
          <v:group id="_x0000_s1026" style="width:440.55pt;height:65.6pt;mso-position-horizontal-relative:char;mso-position-vertical-relative:line" coordsize="8811,1312">
            <v:shape id="_x0000_s1029" type="#_x0000_t75" style="position:absolute;left:1350;top:35;width:6180;height:863">
              <v:imagedata r:id="rId8" o:title=""/>
            </v:shape>
            <v:shape id="_x0000_s1028" type="#_x0000_t75" style="position:absolute;left:7560;width:1251;height:1312">
              <v:imagedata r:id="rId7" o:title=""/>
            </v:shape>
            <v:shape id="_x0000_s1027" type="#_x0000_t75" style="position:absolute;width:1503;height:1084">
              <v:imagedata r:id="rId10" o:title=""/>
            </v:shape>
            <w10:wrap type="none"/>
            <w10:anchorlock/>
          </v:group>
        </w:pict>
      </w:r>
    </w:p>
    <w:p w:rsidR="00A464C8" w:rsidRDefault="00A464C8">
      <w:pPr>
        <w:pStyle w:val="BodyText"/>
        <w:rPr>
          <w:sz w:val="6"/>
        </w:rPr>
      </w:pPr>
    </w:p>
    <w:p w:rsidR="00A464C8" w:rsidRDefault="00004630">
      <w:pPr>
        <w:pStyle w:val="Heading1"/>
        <w:spacing w:before="56"/>
        <w:ind w:right="1593"/>
      </w:pPr>
      <w:r>
        <w:t>Disclosures</w:t>
      </w:r>
    </w:p>
    <w:p w:rsidR="00A464C8" w:rsidRDefault="00004630">
      <w:pPr>
        <w:pStyle w:val="Heading2"/>
        <w:spacing w:before="122"/>
        <w:ind w:left="1599"/>
      </w:pPr>
      <w:r>
        <w:t>The following planners and faculty do not have relevant financial relationships with commercial interests.</w:t>
      </w:r>
    </w:p>
    <w:p w:rsidR="00A464C8" w:rsidRDefault="00004630">
      <w:pPr>
        <w:spacing w:before="114" w:line="266" w:lineRule="exact"/>
        <w:ind w:left="1599" w:right="1592"/>
        <w:jc w:val="center"/>
      </w:pPr>
      <w:r>
        <w:rPr>
          <w:b/>
        </w:rPr>
        <w:t xml:space="preserve">Planners: </w:t>
      </w:r>
      <w:r>
        <w:t>Leilanie Mercurio, Beth Rutkowski, Christian Frable, Kimberly Valencia &amp; Richard Rawson</w:t>
      </w:r>
    </w:p>
    <w:p w:rsidR="00A464C8" w:rsidRDefault="00004630">
      <w:pPr>
        <w:spacing w:before="125"/>
        <w:ind w:left="1477" w:right="1593"/>
        <w:jc w:val="center"/>
      </w:pPr>
      <w:r>
        <w:rPr>
          <w:b/>
        </w:rPr>
        <w:t>Fa</w:t>
      </w:r>
      <w:r>
        <w:rPr>
          <w:b/>
        </w:rPr>
        <w:t xml:space="preserve">culty:  </w:t>
      </w:r>
      <w:r>
        <w:t>Thomas E. Freese, Gloria Miele, Larissa Mooney, Candy Stockton-</w:t>
      </w:r>
      <w:proofErr w:type="spellStart"/>
      <w:r>
        <w:t>Joreteg</w:t>
      </w:r>
      <w:proofErr w:type="spellEnd"/>
    </w:p>
    <w:p w:rsidR="00A464C8" w:rsidRDefault="00A464C8">
      <w:pPr>
        <w:pStyle w:val="BodyText"/>
        <w:spacing w:before="10"/>
        <w:rPr>
          <w:sz w:val="31"/>
        </w:rPr>
      </w:pPr>
    </w:p>
    <w:p w:rsidR="00A464C8" w:rsidRDefault="00004630">
      <w:pPr>
        <w:ind w:left="1599" w:right="1482"/>
        <w:jc w:val="center"/>
        <w:rPr>
          <w:b/>
        </w:rPr>
      </w:pPr>
      <w:bookmarkStart w:id="3" w:name="No_commercial_support_was_provided_for_t"/>
      <w:bookmarkEnd w:id="3"/>
      <w:r>
        <w:rPr>
          <w:b/>
        </w:rPr>
        <w:t>No commercial support was provided for this activity.</w:t>
      </w:r>
    </w:p>
    <w:sectPr w:rsidR="00A464C8">
      <w:pgSz w:w="12240" w:h="15840"/>
      <w:pgMar w:top="400" w:right="30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DF8"/>
    <w:multiLevelType w:val="hybridMultilevel"/>
    <w:tmpl w:val="C73CD22C"/>
    <w:lvl w:ilvl="0" w:tplc="6BB2292C">
      <w:numFmt w:val="bullet"/>
      <w:lvlText w:val=""/>
      <w:lvlJc w:val="left"/>
      <w:pPr>
        <w:ind w:left="1171" w:hanging="361"/>
      </w:pPr>
      <w:rPr>
        <w:rFonts w:ascii="Symbol" w:eastAsia="Symbol" w:hAnsi="Symbol" w:cs="Symbol" w:hint="default"/>
        <w:w w:val="100"/>
        <w:sz w:val="22"/>
        <w:szCs w:val="22"/>
      </w:rPr>
    </w:lvl>
    <w:lvl w:ilvl="1" w:tplc="CAD86DD0">
      <w:numFmt w:val="bullet"/>
      <w:lvlText w:val="•"/>
      <w:lvlJc w:val="left"/>
      <w:pPr>
        <w:ind w:left="1799" w:hanging="361"/>
      </w:pPr>
      <w:rPr>
        <w:rFonts w:hint="default"/>
      </w:rPr>
    </w:lvl>
    <w:lvl w:ilvl="2" w:tplc="2524227C">
      <w:numFmt w:val="bullet"/>
      <w:lvlText w:val="•"/>
      <w:lvlJc w:val="left"/>
      <w:pPr>
        <w:ind w:left="2418" w:hanging="361"/>
      </w:pPr>
      <w:rPr>
        <w:rFonts w:hint="default"/>
      </w:rPr>
    </w:lvl>
    <w:lvl w:ilvl="3" w:tplc="71D2286E">
      <w:numFmt w:val="bullet"/>
      <w:lvlText w:val="•"/>
      <w:lvlJc w:val="left"/>
      <w:pPr>
        <w:ind w:left="3037" w:hanging="361"/>
      </w:pPr>
      <w:rPr>
        <w:rFonts w:hint="default"/>
      </w:rPr>
    </w:lvl>
    <w:lvl w:ilvl="4" w:tplc="8FBEEC70">
      <w:numFmt w:val="bullet"/>
      <w:lvlText w:val="•"/>
      <w:lvlJc w:val="left"/>
      <w:pPr>
        <w:ind w:left="3656" w:hanging="361"/>
      </w:pPr>
      <w:rPr>
        <w:rFonts w:hint="default"/>
      </w:rPr>
    </w:lvl>
    <w:lvl w:ilvl="5" w:tplc="33A6E852">
      <w:numFmt w:val="bullet"/>
      <w:lvlText w:val="•"/>
      <w:lvlJc w:val="left"/>
      <w:pPr>
        <w:ind w:left="4275" w:hanging="361"/>
      </w:pPr>
      <w:rPr>
        <w:rFonts w:hint="default"/>
      </w:rPr>
    </w:lvl>
    <w:lvl w:ilvl="6" w:tplc="20802ED4">
      <w:numFmt w:val="bullet"/>
      <w:lvlText w:val="•"/>
      <w:lvlJc w:val="left"/>
      <w:pPr>
        <w:ind w:left="4894" w:hanging="361"/>
      </w:pPr>
      <w:rPr>
        <w:rFonts w:hint="default"/>
      </w:rPr>
    </w:lvl>
    <w:lvl w:ilvl="7" w:tplc="DB46C1DC">
      <w:numFmt w:val="bullet"/>
      <w:lvlText w:val="•"/>
      <w:lvlJc w:val="left"/>
      <w:pPr>
        <w:ind w:left="5513" w:hanging="361"/>
      </w:pPr>
      <w:rPr>
        <w:rFonts w:hint="default"/>
      </w:rPr>
    </w:lvl>
    <w:lvl w:ilvl="8" w:tplc="9046792E">
      <w:numFmt w:val="bullet"/>
      <w:lvlText w:val="•"/>
      <w:lvlJc w:val="left"/>
      <w:pPr>
        <w:ind w:left="6132" w:hanging="361"/>
      </w:pPr>
      <w:rPr>
        <w:rFonts w:hint="default"/>
      </w:rPr>
    </w:lvl>
  </w:abstractNum>
  <w:abstractNum w:abstractNumId="1" w15:restartNumberingAfterBreak="0">
    <w:nsid w:val="2E065DF2"/>
    <w:multiLevelType w:val="hybridMultilevel"/>
    <w:tmpl w:val="CB562E6E"/>
    <w:lvl w:ilvl="0" w:tplc="966AF2DE">
      <w:numFmt w:val="bullet"/>
      <w:lvlText w:val=""/>
      <w:lvlJc w:val="left"/>
      <w:pPr>
        <w:ind w:left="1080" w:hanging="361"/>
      </w:pPr>
      <w:rPr>
        <w:rFonts w:ascii="Symbol" w:eastAsia="Symbol" w:hAnsi="Symbol" w:cs="Symbol" w:hint="default"/>
        <w:w w:val="100"/>
        <w:sz w:val="22"/>
        <w:szCs w:val="22"/>
      </w:rPr>
    </w:lvl>
    <w:lvl w:ilvl="1" w:tplc="E7B6DB4A">
      <w:numFmt w:val="bullet"/>
      <w:lvlText w:val="•"/>
      <w:lvlJc w:val="left"/>
      <w:pPr>
        <w:ind w:left="1709" w:hanging="361"/>
      </w:pPr>
      <w:rPr>
        <w:rFonts w:hint="default"/>
      </w:rPr>
    </w:lvl>
    <w:lvl w:ilvl="2" w:tplc="46D010B0">
      <w:numFmt w:val="bullet"/>
      <w:lvlText w:val="•"/>
      <w:lvlJc w:val="left"/>
      <w:pPr>
        <w:ind w:left="2338" w:hanging="361"/>
      </w:pPr>
      <w:rPr>
        <w:rFonts w:hint="default"/>
      </w:rPr>
    </w:lvl>
    <w:lvl w:ilvl="3" w:tplc="70D04468">
      <w:numFmt w:val="bullet"/>
      <w:lvlText w:val="•"/>
      <w:lvlJc w:val="left"/>
      <w:pPr>
        <w:ind w:left="2967" w:hanging="361"/>
      </w:pPr>
      <w:rPr>
        <w:rFonts w:hint="default"/>
      </w:rPr>
    </w:lvl>
    <w:lvl w:ilvl="4" w:tplc="B57C0464">
      <w:numFmt w:val="bullet"/>
      <w:lvlText w:val="•"/>
      <w:lvlJc w:val="left"/>
      <w:pPr>
        <w:ind w:left="3596" w:hanging="361"/>
      </w:pPr>
      <w:rPr>
        <w:rFonts w:hint="default"/>
      </w:rPr>
    </w:lvl>
    <w:lvl w:ilvl="5" w:tplc="F1888E54">
      <w:numFmt w:val="bullet"/>
      <w:lvlText w:val="•"/>
      <w:lvlJc w:val="left"/>
      <w:pPr>
        <w:ind w:left="4225" w:hanging="361"/>
      </w:pPr>
      <w:rPr>
        <w:rFonts w:hint="default"/>
      </w:rPr>
    </w:lvl>
    <w:lvl w:ilvl="6" w:tplc="B81A4D8A">
      <w:numFmt w:val="bullet"/>
      <w:lvlText w:val="•"/>
      <w:lvlJc w:val="left"/>
      <w:pPr>
        <w:ind w:left="4854" w:hanging="361"/>
      </w:pPr>
      <w:rPr>
        <w:rFonts w:hint="default"/>
      </w:rPr>
    </w:lvl>
    <w:lvl w:ilvl="7" w:tplc="29C4C906">
      <w:numFmt w:val="bullet"/>
      <w:lvlText w:val="•"/>
      <w:lvlJc w:val="left"/>
      <w:pPr>
        <w:ind w:left="5483" w:hanging="361"/>
      </w:pPr>
      <w:rPr>
        <w:rFonts w:hint="default"/>
      </w:rPr>
    </w:lvl>
    <w:lvl w:ilvl="8" w:tplc="6D5E5074">
      <w:numFmt w:val="bullet"/>
      <w:lvlText w:val="•"/>
      <w:lvlJc w:val="left"/>
      <w:pPr>
        <w:ind w:left="611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464C8"/>
    <w:rsid w:val="00004630"/>
    <w:rsid w:val="00A4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E765EF4"/>
  <w15:docId w15:val="{3B9FCE51-AC7D-4F9B-BE34-4128F14C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3" w:right="1482"/>
      <w:jc w:val="center"/>
      <w:outlineLvl w:val="0"/>
    </w:pPr>
    <w:rPr>
      <w:b/>
      <w:bCs/>
    </w:rPr>
  </w:style>
  <w:style w:type="paragraph" w:styleId="Heading2">
    <w:name w:val="heading 2"/>
    <w:basedOn w:val="Normal"/>
    <w:uiPriority w:val="1"/>
    <w:qFormat/>
    <w:pPr>
      <w:ind w:left="699" w:right="1593"/>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7"/>
      <w:ind w:left="1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Vazquez</dc:creator>
  <cp:lastModifiedBy>Christian Frable (Contract)</cp:lastModifiedBy>
  <cp:revision>2</cp:revision>
  <dcterms:created xsi:type="dcterms:W3CDTF">2018-10-12T08:59:00Z</dcterms:created>
  <dcterms:modified xsi:type="dcterms:W3CDTF">2018-10-12T16:01:00Z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Acrobat PDFMaker 15 for Word</vt:lpwstr>
  </property>
  <property fmtid="{D5CDD505-2E9C-101B-9397-08002B2CF9AE}" pid="4" name="LastSaved">
    <vt:filetime>2018-10-12T00:00:00Z</vt:filetime>
  </property>
</Properties>
</file>